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E395" w14:textId="079A03AE" w:rsidR="00FA6097" w:rsidRDefault="00234DC9" w:rsidP="005776A8">
      <w:pPr>
        <w:rPr>
          <w:b/>
          <w:bCs/>
        </w:rPr>
      </w:pPr>
      <w:r>
        <w:rPr>
          <w:b/>
          <w:bCs/>
          <w:noProof/>
        </w:rPr>
        <mc:AlternateContent>
          <mc:Choice Requires="wps">
            <w:drawing>
              <wp:anchor distT="45720" distB="45720" distL="114300" distR="114300" simplePos="0" relativeHeight="251661312" behindDoc="0" locked="0" layoutInCell="1" allowOverlap="1" wp14:anchorId="408108F7" wp14:editId="07B62AA9">
                <wp:simplePos x="0" y="0"/>
                <wp:positionH relativeFrom="column">
                  <wp:posOffset>1788795</wp:posOffset>
                </wp:positionH>
                <wp:positionV relativeFrom="paragraph">
                  <wp:posOffset>0</wp:posOffset>
                </wp:positionV>
                <wp:extent cx="4831080" cy="702310"/>
                <wp:effectExtent l="0" t="0" r="0" b="0"/>
                <wp:wrapSquare wrapText="bothSides"/>
                <wp:docPr id="139489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1080" cy="702310"/>
                        </a:xfrm>
                        <a:prstGeom prst="rect">
                          <a:avLst/>
                        </a:prstGeom>
                        <a:solidFill>
                          <a:srgbClr val="FFFFFF"/>
                        </a:solidFill>
                        <a:ln w="9525">
                          <a:solidFill>
                            <a:srgbClr val="000000"/>
                          </a:solidFill>
                          <a:miter lim="800000"/>
                          <a:headEnd/>
                          <a:tailEnd/>
                        </a:ln>
                      </wps:spPr>
                      <wps:txbx>
                        <w:txbxContent>
                          <w:p w14:paraId="293B9B74" w14:textId="77777777" w:rsidR="00CC2D3D" w:rsidRDefault="00F1373A" w:rsidP="00103EA6">
                            <w:pPr>
                              <w:jc w:val="right"/>
                            </w:pPr>
                            <w:r>
                              <w:t>Clare Horrell</w:t>
                            </w:r>
                          </w:p>
                          <w:p w14:paraId="6EC76BF5" w14:textId="459F216A" w:rsidR="00CC2D3D" w:rsidRPr="00E86FC4" w:rsidRDefault="00761122">
                            <w:pPr>
                              <w:rPr>
                                <w:b/>
                                <w:bCs/>
                                <w:sz w:val="28"/>
                                <w:szCs w:val="28"/>
                              </w:rPr>
                            </w:pPr>
                            <w:r>
                              <w:rPr>
                                <w:sz w:val="28"/>
                                <w:szCs w:val="28"/>
                              </w:rPr>
                              <w:t xml:space="preserve">Public access to the Countryside and </w:t>
                            </w:r>
                            <w:r w:rsidR="00E86FC4" w:rsidRPr="00E86FC4">
                              <w:rPr>
                                <w:sz w:val="28"/>
                                <w:szCs w:val="28"/>
                              </w:rPr>
                              <w:t xml:space="preserve">to </w:t>
                            </w:r>
                            <w:r w:rsidR="00E86FC4">
                              <w:rPr>
                                <w:sz w:val="28"/>
                                <w:szCs w:val="28"/>
                              </w:rPr>
                              <w:t>N</w:t>
                            </w:r>
                            <w:r w:rsidR="00E86FC4" w:rsidRPr="00E86FC4">
                              <w:rPr>
                                <w:sz w:val="28"/>
                                <w:szCs w:val="28"/>
                              </w:rPr>
                              <w:t>ature</w:t>
                            </w:r>
                            <w:r w:rsidR="00E86FC4">
                              <w:rPr>
                                <w:sz w:val="28"/>
                                <w:szCs w:val="28"/>
                              </w:rPr>
                              <w:tab/>
                            </w:r>
                            <w:r w:rsidR="00E86FC4">
                              <w:rPr>
                                <w:sz w:val="28"/>
                                <w:szCs w:val="28"/>
                              </w:rPr>
                              <w:tab/>
                            </w:r>
                            <w:r w:rsidR="00E86FC4">
                              <w:rPr>
                                <w:sz w:val="28"/>
                                <w:szCs w:val="28"/>
                              </w:rPr>
                              <w:tab/>
                            </w:r>
                            <w:r w:rsidR="00E86FC4">
                              <w:rPr>
                                <w:sz w:val="28"/>
                                <w:szCs w:val="28"/>
                              </w:rPr>
                              <w:tab/>
                            </w:r>
                            <w:r w:rsidR="00E86FC4">
                              <w:rPr>
                                <w:sz w:val="28"/>
                                <w:szCs w:val="28"/>
                              </w:rPr>
                              <w:tab/>
                            </w:r>
                            <w:r w:rsidR="00E86FC4">
                              <w:rPr>
                                <w:sz w:val="28"/>
                                <w:szCs w:val="28"/>
                              </w:rPr>
                              <w:tab/>
                            </w:r>
                            <w:r w:rsidR="009D719C">
                              <w:rPr>
                                <w:sz w:val="28"/>
                                <w:szCs w:val="28"/>
                              </w:rPr>
                              <w:tab/>
                            </w:r>
                            <w:r w:rsidR="009D719C">
                              <w:rPr>
                                <w:sz w:val="28"/>
                                <w:szCs w:val="28"/>
                              </w:rPr>
                              <w:tab/>
                            </w:r>
                            <w:r w:rsidR="009D719C">
                              <w:rPr>
                                <w:sz w:val="28"/>
                                <w:szCs w:val="28"/>
                              </w:rPr>
                              <w:tab/>
                            </w:r>
                            <w:r w:rsidR="009D719C">
                              <w:rPr>
                                <w:sz w:val="28"/>
                                <w:szCs w:val="28"/>
                              </w:rPr>
                              <w:tab/>
                            </w:r>
                            <w:r w:rsidR="009D719C">
                              <w:rPr>
                                <w:sz w:val="28"/>
                                <w:szCs w:val="28"/>
                              </w:rPr>
                              <w:tab/>
                            </w:r>
                            <w:r w:rsidR="009D719C">
                              <w:rPr>
                                <w:sz w:val="28"/>
                                <w:szCs w:val="28"/>
                              </w:rPr>
                              <w:tab/>
                            </w:r>
                            <w:r w:rsidR="00E86FC4" w:rsidRPr="00234DC9">
                              <w:rPr>
                                <w:sz w:val="11"/>
                                <w:szCs w:val="11"/>
                              </w:rPr>
                              <w:t>February 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8108F7" id="_x0000_t202" coordsize="21600,21600" o:spt="202" path="m,l,21600r21600,l21600,xe">
                <v:stroke joinstyle="miter"/>
                <v:path gradientshapeok="t" o:connecttype="rect"/>
              </v:shapetype>
              <v:shape id="Text Box 2" o:spid="_x0000_s1026" type="#_x0000_t202" style="position:absolute;margin-left:140.85pt;margin-top:0;width:380.4pt;height:5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">
                <v:path arrowok="t"/>
                <v:textbox>
                  <w:txbxContent>
                    <w:p w14:paraId="293B9B74" w14:textId="77777777" w:rsidR="00CC2D3D" w:rsidRDefault="00F1373A" w:rsidP="00103EA6">
                      <w:pPr>
                        <w:jc w:val="right"/>
                      </w:pPr>
                      <w:r>
                        <w:t>Clare Horrell</w:t>
                      </w:r>
                    </w:p>
                    <w:p w14:paraId="6EC76BF5" w14:textId="459F216A" w:rsidR="00CC2D3D" w:rsidRPr="00E86FC4" w:rsidRDefault="00761122">
                      <w:pPr>
                        <w:rPr>
                          <w:b/>
                          <w:bCs/>
                          <w:sz w:val="28"/>
                          <w:szCs w:val="28"/>
                        </w:rPr>
                      </w:pPr>
                      <w:r>
                        <w:rPr>
                          <w:sz w:val="28"/>
                          <w:szCs w:val="28"/>
                        </w:rPr>
                        <w:t xml:space="preserve">Public access to the Countryside and </w:t>
                      </w:r>
                      <w:r w:rsidR="00E86FC4" w:rsidRPr="00E86FC4">
                        <w:rPr>
                          <w:sz w:val="28"/>
                          <w:szCs w:val="28"/>
                        </w:rPr>
                        <w:t xml:space="preserve">to </w:t>
                      </w:r>
                      <w:r w:rsidR="00E86FC4">
                        <w:rPr>
                          <w:sz w:val="28"/>
                          <w:szCs w:val="28"/>
                        </w:rPr>
                        <w:t>N</w:t>
                      </w:r>
                      <w:r w:rsidR="00E86FC4" w:rsidRPr="00E86FC4">
                        <w:rPr>
                          <w:sz w:val="28"/>
                          <w:szCs w:val="28"/>
                        </w:rPr>
                        <w:t>ature</w:t>
                      </w:r>
                      <w:r w:rsidR="00E86FC4">
                        <w:rPr>
                          <w:sz w:val="28"/>
                          <w:szCs w:val="28"/>
                        </w:rPr>
                        <w:tab/>
                      </w:r>
                      <w:r w:rsidR="00E86FC4">
                        <w:rPr>
                          <w:sz w:val="28"/>
                          <w:szCs w:val="28"/>
                        </w:rPr>
                        <w:tab/>
                      </w:r>
                      <w:r w:rsidR="00E86FC4">
                        <w:rPr>
                          <w:sz w:val="28"/>
                          <w:szCs w:val="28"/>
                        </w:rPr>
                        <w:tab/>
                      </w:r>
                      <w:r w:rsidR="00E86FC4">
                        <w:rPr>
                          <w:sz w:val="28"/>
                          <w:szCs w:val="28"/>
                        </w:rPr>
                        <w:tab/>
                      </w:r>
                      <w:r w:rsidR="00E86FC4">
                        <w:rPr>
                          <w:sz w:val="28"/>
                          <w:szCs w:val="28"/>
                        </w:rPr>
                        <w:tab/>
                      </w:r>
                      <w:r w:rsidR="00E86FC4">
                        <w:rPr>
                          <w:sz w:val="28"/>
                          <w:szCs w:val="28"/>
                        </w:rPr>
                        <w:tab/>
                      </w:r>
                      <w:r w:rsidR="009D719C">
                        <w:rPr>
                          <w:sz w:val="28"/>
                          <w:szCs w:val="28"/>
                        </w:rPr>
                        <w:tab/>
                      </w:r>
                      <w:r w:rsidR="009D719C">
                        <w:rPr>
                          <w:sz w:val="28"/>
                          <w:szCs w:val="28"/>
                        </w:rPr>
                        <w:tab/>
                      </w:r>
                      <w:r w:rsidR="009D719C">
                        <w:rPr>
                          <w:sz w:val="28"/>
                          <w:szCs w:val="28"/>
                        </w:rPr>
                        <w:tab/>
                      </w:r>
                      <w:r w:rsidR="009D719C">
                        <w:rPr>
                          <w:sz w:val="28"/>
                          <w:szCs w:val="28"/>
                        </w:rPr>
                        <w:tab/>
                      </w:r>
                      <w:r w:rsidR="009D719C">
                        <w:rPr>
                          <w:sz w:val="28"/>
                          <w:szCs w:val="28"/>
                        </w:rPr>
                        <w:tab/>
                      </w:r>
                      <w:r w:rsidR="009D719C">
                        <w:rPr>
                          <w:sz w:val="28"/>
                          <w:szCs w:val="28"/>
                        </w:rPr>
                        <w:tab/>
                      </w:r>
                      <w:r w:rsidR="00E86FC4" w:rsidRPr="00234DC9">
                        <w:rPr>
                          <w:sz w:val="11"/>
                          <w:szCs w:val="11"/>
                        </w:rPr>
                        <w:t>February 2024</w:t>
                      </w:r>
                    </w:p>
                  </w:txbxContent>
                </v:textbox>
                <w10:wrap type="square"/>
              </v:shape>
            </w:pict>
          </mc:Fallback>
        </mc:AlternateContent>
      </w:r>
      <w:r w:rsidR="000E62CB">
        <w:br/>
      </w:r>
      <w:r w:rsidR="004A6EEC">
        <w:rPr>
          <w:b/>
          <w:bCs/>
          <w:noProof/>
        </w:rPr>
        <mc:AlternateContent>
          <mc:Choice Requires="wps">
            <w:drawing>
              <wp:anchor distT="45720" distB="45720" distL="114300" distR="114300" simplePos="0" relativeHeight="251665408" behindDoc="0" locked="0" layoutInCell="1" allowOverlap="1" wp14:anchorId="5EFA072D" wp14:editId="4AE12758">
                <wp:simplePos x="0" y="0"/>
                <wp:positionH relativeFrom="margin">
                  <wp:align>left</wp:align>
                </wp:positionH>
                <wp:positionV relativeFrom="paragraph">
                  <wp:posOffset>0</wp:posOffset>
                </wp:positionV>
                <wp:extent cx="1684020" cy="702310"/>
                <wp:effectExtent l="0" t="0" r="5080" b="0"/>
                <wp:wrapSquare wrapText="bothSides"/>
                <wp:docPr id="899038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4020" cy="702310"/>
                        </a:xfrm>
                        <a:prstGeom prst="rect">
                          <a:avLst/>
                        </a:prstGeom>
                        <a:solidFill>
                          <a:srgbClr val="FFFFFF"/>
                        </a:solidFill>
                        <a:ln w="9525">
                          <a:solidFill>
                            <a:srgbClr val="000000"/>
                          </a:solidFill>
                          <a:miter lim="800000"/>
                          <a:headEnd/>
                          <a:tailEnd/>
                        </a:ln>
                      </wps:spPr>
                      <wps:txbx>
                        <w:txbxContent>
                          <w:p w14:paraId="0F5D4479" w14:textId="77777777" w:rsidR="00103EA6" w:rsidRPr="00103EA6" w:rsidRDefault="00103EA6" w:rsidP="004B047B">
                            <w:pPr>
                              <w:spacing w:line="168" w:lineRule="auto"/>
                              <w:jc w:val="center"/>
                              <w:rPr>
                                <w:b/>
                                <w:bCs/>
                                <w:color w:val="538135" w:themeColor="accent6" w:themeShade="BF"/>
                              </w:rPr>
                            </w:pPr>
                            <w:r w:rsidRPr="00103EA6">
                              <w:rPr>
                                <w:b/>
                                <w:bCs/>
                                <w:color w:val="538135" w:themeColor="accent6" w:themeShade="BF"/>
                              </w:rPr>
                              <w:t>West Country</w:t>
                            </w:r>
                          </w:p>
                          <w:p w14:paraId="081880D2" w14:textId="77777777" w:rsidR="00103EA6" w:rsidRPr="00103EA6" w:rsidRDefault="00103EA6" w:rsidP="004B047B">
                            <w:pPr>
                              <w:spacing w:line="168" w:lineRule="auto"/>
                              <w:jc w:val="center"/>
                            </w:pPr>
                            <w:r w:rsidRPr="00103EA6">
                              <w:rPr>
                                <w:b/>
                                <w:bCs/>
                                <w:color w:val="FF0000"/>
                              </w:rPr>
                              <w:t>Labour</w:t>
                            </w:r>
                            <w:r w:rsidRPr="00103EA6">
                              <w:rPr>
                                <w:color w:val="FF0000"/>
                              </w:rPr>
                              <w:t xml:space="preserve"> </w:t>
                            </w:r>
                            <w:r w:rsidRPr="00103EA6">
                              <w:t xml:space="preserve">&amp; </w:t>
                            </w:r>
                            <w:r w:rsidRPr="00103EA6">
                              <w:rPr>
                                <w:b/>
                                <w:bCs/>
                                <w:color w:val="7030A0"/>
                              </w:rPr>
                              <w:t>Cooperative</w:t>
                            </w:r>
                          </w:p>
                          <w:p w14:paraId="2F12A7DF" w14:textId="77777777" w:rsidR="00103EA6" w:rsidRPr="00103EA6" w:rsidRDefault="00103EA6" w:rsidP="004B047B">
                            <w:pPr>
                              <w:spacing w:line="168" w:lineRule="auto"/>
                              <w:jc w:val="center"/>
                              <w:rPr>
                                <w:b/>
                                <w:bCs/>
                              </w:rPr>
                            </w:pPr>
                            <w:r w:rsidRPr="00103EA6">
                              <w:rPr>
                                <w:b/>
                                <w:bCs/>
                              </w:rPr>
                              <w:t xml:space="preserve">Farming </w:t>
                            </w:r>
                            <w:r w:rsidR="004B047B">
                              <w:rPr>
                                <w:b/>
                                <w:bCs/>
                              </w:rPr>
                              <w:t xml:space="preserve">- </w:t>
                            </w:r>
                            <w:r w:rsidRPr="00103EA6">
                              <w:rPr>
                                <w:b/>
                                <w:bCs/>
                              </w:rPr>
                              <w:t xml:space="preserve">Fisheries </w:t>
                            </w:r>
                            <w:r w:rsidR="004B047B">
                              <w:rPr>
                                <w:b/>
                                <w:bCs/>
                              </w:rPr>
                              <w:t xml:space="preserve">- </w:t>
                            </w:r>
                            <w:r w:rsidRPr="00103EA6">
                              <w:rPr>
                                <w:b/>
                                <w:bCs/>
                              </w:rPr>
                              <w:t>Food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FA072D" id="Text Box 4" o:spid="_x0000_s1027" type="#_x0000_t202" style="position:absolute;margin-left:0;margin-top:0;width:132.6pt;height:55.3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">
                <v:path arrowok="t"/>
                <v:textbox>
                  <w:txbxContent>
                    <w:p w14:paraId="0F5D4479" w14:textId="77777777" w:rsidR="00103EA6" w:rsidRPr="00103EA6" w:rsidRDefault="00103EA6" w:rsidP="004B047B">
                      <w:pPr>
                        <w:spacing w:line="168" w:lineRule="auto"/>
                        <w:jc w:val="center"/>
                        <w:rPr>
                          <w:b/>
                          <w:bCs/>
                          <w:color w:val="538135" w:themeColor="accent6" w:themeShade="BF"/>
                        </w:rPr>
                      </w:pPr>
                      <w:r w:rsidRPr="00103EA6">
                        <w:rPr>
                          <w:b/>
                          <w:bCs/>
                          <w:color w:val="538135" w:themeColor="accent6" w:themeShade="BF"/>
                        </w:rPr>
                        <w:t>West Country</w:t>
                      </w:r>
                    </w:p>
                    <w:p w14:paraId="081880D2" w14:textId="77777777" w:rsidR="00103EA6" w:rsidRPr="00103EA6" w:rsidRDefault="00103EA6" w:rsidP="004B047B">
                      <w:pPr>
                        <w:spacing w:line="168" w:lineRule="auto"/>
                        <w:jc w:val="center"/>
                      </w:pPr>
                      <w:r w:rsidRPr="00103EA6">
                        <w:rPr>
                          <w:b/>
                          <w:bCs/>
                          <w:color w:val="FF0000"/>
                        </w:rPr>
                        <w:t>Labour</w:t>
                      </w:r>
                      <w:r w:rsidRPr="00103EA6">
                        <w:rPr>
                          <w:color w:val="FF0000"/>
                        </w:rPr>
                        <w:t xml:space="preserve"> </w:t>
                      </w:r>
                      <w:r w:rsidRPr="00103EA6">
                        <w:t xml:space="preserve">&amp; </w:t>
                      </w:r>
                      <w:r w:rsidRPr="00103EA6">
                        <w:rPr>
                          <w:b/>
                          <w:bCs/>
                          <w:color w:val="7030A0"/>
                        </w:rPr>
                        <w:t>Cooperative</w:t>
                      </w:r>
                    </w:p>
                    <w:p w14:paraId="2F12A7DF" w14:textId="77777777" w:rsidR="00103EA6" w:rsidRPr="00103EA6" w:rsidRDefault="00103EA6" w:rsidP="004B047B">
                      <w:pPr>
                        <w:spacing w:line="168" w:lineRule="auto"/>
                        <w:jc w:val="center"/>
                        <w:rPr>
                          <w:b/>
                          <w:bCs/>
                        </w:rPr>
                      </w:pPr>
                      <w:r w:rsidRPr="00103EA6">
                        <w:rPr>
                          <w:b/>
                          <w:bCs/>
                        </w:rPr>
                        <w:t xml:space="preserve">Farming </w:t>
                      </w:r>
                      <w:r w:rsidR="004B047B">
                        <w:rPr>
                          <w:b/>
                          <w:bCs/>
                        </w:rPr>
                        <w:t xml:space="preserve">- </w:t>
                      </w:r>
                      <w:r w:rsidRPr="00103EA6">
                        <w:rPr>
                          <w:b/>
                          <w:bCs/>
                        </w:rPr>
                        <w:t xml:space="preserve">Fisheries </w:t>
                      </w:r>
                      <w:r w:rsidR="004B047B">
                        <w:rPr>
                          <w:b/>
                          <w:bCs/>
                        </w:rPr>
                        <w:t xml:space="preserve">- </w:t>
                      </w:r>
                      <w:r w:rsidRPr="00103EA6">
                        <w:rPr>
                          <w:b/>
                          <w:bCs/>
                        </w:rPr>
                        <w:t>Food</w:t>
                      </w:r>
                    </w:p>
                  </w:txbxContent>
                </v:textbox>
                <w10:wrap type="square" anchorx="margin"/>
              </v:shape>
            </w:pict>
          </mc:Fallback>
        </mc:AlternateContent>
      </w:r>
      <w:r w:rsidR="004A6EEC">
        <w:rPr>
          <w:b/>
          <w:bCs/>
          <w:noProof/>
        </w:rPr>
        <mc:AlternateContent>
          <mc:Choice Requires="wps">
            <w:drawing>
              <wp:anchor distT="45720" distB="45720" distL="114300" distR="114300" simplePos="0" relativeHeight="251667456" behindDoc="0" locked="0" layoutInCell="1" allowOverlap="1" wp14:anchorId="443C7897" wp14:editId="5EEB091A">
                <wp:simplePos x="0" y="0"/>
                <wp:positionH relativeFrom="margin">
                  <wp:align>left</wp:align>
                </wp:positionH>
                <wp:positionV relativeFrom="paragraph">
                  <wp:posOffset>807720</wp:posOffset>
                </wp:positionV>
                <wp:extent cx="6621780" cy="510540"/>
                <wp:effectExtent l="0" t="0" r="0" b="0"/>
                <wp:wrapSquare wrapText="bothSides"/>
                <wp:docPr id="1442404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1780" cy="510540"/>
                        </a:xfrm>
                        <a:prstGeom prst="rect">
                          <a:avLst/>
                        </a:prstGeom>
                        <a:solidFill>
                          <a:srgbClr val="FFFFFF"/>
                        </a:solidFill>
                        <a:ln w="9525">
                          <a:solidFill>
                            <a:srgbClr val="000000"/>
                          </a:solidFill>
                          <a:miter lim="800000"/>
                          <a:headEnd/>
                          <a:tailEnd/>
                        </a:ln>
                      </wps:spPr>
                      <wps:txbx>
                        <w:txbxContent>
                          <w:p w14:paraId="6481BC36" w14:textId="77777777" w:rsidR="00103EA6" w:rsidRPr="009169CD" w:rsidRDefault="004B047B" w:rsidP="00103EA6">
                            <w:pPr>
                              <w:rPr>
                                <w:sz w:val="16"/>
                                <w:szCs w:val="16"/>
                              </w:rPr>
                            </w:pPr>
                            <w:r>
                              <w:rPr>
                                <w:sz w:val="16"/>
                                <w:szCs w:val="16"/>
                              </w:rPr>
                              <w:t xml:space="preserve">This briefing note has been prepared by the </w:t>
                            </w:r>
                            <w:r w:rsidR="00103EA6" w:rsidRPr="009169CD">
                              <w:rPr>
                                <w:sz w:val="16"/>
                                <w:szCs w:val="16"/>
                              </w:rPr>
                              <w:t xml:space="preserve">West Country Labour and Cooperative </w:t>
                            </w:r>
                            <w:r w:rsidR="00103EA6" w:rsidRPr="009169CD">
                              <w:rPr>
                                <w:b/>
                                <w:bCs/>
                                <w:sz w:val="16"/>
                                <w:szCs w:val="16"/>
                              </w:rPr>
                              <w:t>Farming, Fisheries and Food</w:t>
                            </w:r>
                            <w:r w:rsidR="00FA6097">
                              <w:rPr>
                                <w:b/>
                                <w:bCs/>
                                <w:sz w:val="16"/>
                                <w:szCs w:val="16"/>
                              </w:rPr>
                              <w:t xml:space="preserve"> </w:t>
                            </w:r>
                            <w:r w:rsidR="00FA6097" w:rsidRPr="00FA6097">
                              <w:rPr>
                                <w:sz w:val="16"/>
                                <w:szCs w:val="16"/>
                              </w:rPr>
                              <w:t>(3F)</w:t>
                            </w:r>
                            <w:r>
                              <w:rPr>
                                <w:sz w:val="16"/>
                                <w:szCs w:val="16"/>
                              </w:rPr>
                              <w:t xml:space="preserve"> group, to inform the work of </w:t>
                            </w:r>
                            <w:r w:rsidR="00103EA6" w:rsidRPr="009169CD">
                              <w:rPr>
                                <w:sz w:val="16"/>
                                <w:szCs w:val="16"/>
                              </w:rPr>
                              <w:t xml:space="preserve">Local Government Committees (LGCs), the Regional Executive Committee (REC) and Shadow Ministerial team. Our work complements that of </w:t>
                            </w:r>
                            <w:r>
                              <w:rPr>
                                <w:sz w:val="16"/>
                                <w:szCs w:val="16"/>
                              </w:rPr>
                              <w:t>other</w:t>
                            </w:r>
                            <w:r w:rsidR="00103EA6" w:rsidRPr="009169CD">
                              <w:rPr>
                                <w:sz w:val="16"/>
                                <w:szCs w:val="16"/>
                              </w:rPr>
                              <w:t xml:space="preserve"> </w:t>
                            </w:r>
                            <w:r>
                              <w:rPr>
                                <w:sz w:val="16"/>
                                <w:szCs w:val="16"/>
                              </w:rPr>
                              <w:t xml:space="preserve">party </w:t>
                            </w:r>
                            <w:r w:rsidR="00103EA6" w:rsidRPr="009169CD">
                              <w:rPr>
                                <w:sz w:val="16"/>
                                <w:szCs w:val="16"/>
                              </w:rPr>
                              <w:t xml:space="preserve">policy structures and affiliated organisations. Each of our ‘work packages’ is led by a subject matter expert and </w:t>
                            </w:r>
                            <w:r>
                              <w:rPr>
                                <w:sz w:val="16"/>
                                <w:szCs w:val="16"/>
                              </w:rPr>
                              <w:t xml:space="preserve">includes qualified and experienced practitioners. </w:t>
                            </w:r>
                          </w:p>
                          <w:p w14:paraId="601E56A1" w14:textId="77777777" w:rsidR="00103EA6" w:rsidRPr="00D9498D" w:rsidRDefault="00103EA6" w:rsidP="00103EA6">
                            <w:pPr>
                              <w:rPr>
                                <w:sz w:val="16"/>
                                <w:szCs w:val="16"/>
                              </w:rPr>
                            </w:pPr>
                          </w:p>
                          <w:p w14:paraId="06EE57BA" w14:textId="77777777" w:rsidR="00103EA6" w:rsidRPr="00331137" w:rsidRDefault="00103EA6" w:rsidP="00103EA6"/>
                          <w:p w14:paraId="00A82A01" w14:textId="77777777" w:rsidR="00103EA6" w:rsidRDefault="00103EA6" w:rsidP="00103E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C7897" id="_x0000_s1028" type="#_x0000_t202" style="position:absolute;margin-left:0;margin-top:63.6pt;width:521.4pt;height:40.2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">
                <v:path arrowok="t"/>
                <v:textbox>
                  <w:txbxContent>
                    <w:p w14:paraId="6481BC36" w14:textId="77777777" w:rsidR="00103EA6" w:rsidRPr="009169CD" w:rsidRDefault="004B047B" w:rsidP="00103EA6">
                      <w:pPr>
                        <w:rPr>
                          <w:sz w:val="16"/>
                          <w:szCs w:val="16"/>
                        </w:rPr>
                      </w:pPr>
                      <w:r>
                        <w:rPr>
                          <w:sz w:val="16"/>
                          <w:szCs w:val="16"/>
                        </w:rPr>
                        <w:t xml:space="preserve">This briefing note has been prepared by the </w:t>
                      </w:r>
                      <w:r w:rsidR="00103EA6" w:rsidRPr="009169CD">
                        <w:rPr>
                          <w:sz w:val="16"/>
                          <w:szCs w:val="16"/>
                        </w:rPr>
                        <w:t xml:space="preserve">West Country Labour and Cooperative </w:t>
                      </w:r>
                      <w:r w:rsidR="00103EA6" w:rsidRPr="009169CD">
                        <w:rPr>
                          <w:b/>
                          <w:bCs/>
                          <w:sz w:val="16"/>
                          <w:szCs w:val="16"/>
                        </w:rPr>
                        <w:t>Farming, Fisheries and Food</w:t>
                      </w:r>
                      <w:r w:rsidR="00FA6097">
                        <w:rPr>
                          <w:b/>
                          <w:bCs/>
                          <w:sz w:val="16"/>
                          <w:szCs w:val="16"/>
                        </w:rPr>
                        <w:t xml:space="preserve"> </w:t>
                      </w:r>
                      <w:r w:rsidR="00FA6097" w:rsidRPr="00FA6097">
                        <w:rPr>
                          <w:sz w:val="16"/>
                          <w:szCs w:val="16"/>
                        </w:rPr>
                        <w:t>(3F)</w:t>
                      </w:r>
                      <w:r>
                        <w:rPr>
                          <w:sz w:val="16"/>
                          <w:szCs w:val="16"/>
                        </w:rPr>
                        <w:t xml:space="preserve"> group, to inform the work of </w:t>
                      </w:r>
                      <w:r w:rsidR="00103EA6" w:rsidRPr="009169CD">
                        <w:rPr>
                          <w:sz w:val="16"/>
                          <w:szCs w:val="16"/>
                        </w:rPr>
                        <w:t xml:space="preserve">Local Government Committees (LGCs), the Regional Executive Committee (REC) and Shadow Ministerial team. Our work complements that of </w:t>
                      </w:r>
                      <w:r>
                        <w:rPr>
                          <w:sz w:val="16"/>
                          <w:szCs w:val="16"/>
                        </w:rPr>
                        <w:t>other</w:t>
                      </w:r>
                      <w:r w:rsidR="00103EA6" w:rsidRPr="009169CD">
                        <w:rPr>
                          <w:sz w:val="16"/>
                          <w:szCs w:val="16"/>
                        </w:rPr>
                        <w:t xml:space="preserve"> </w:t>
                      </w:r>
                      <w:r>
                        <w:rPr>
                          <w:sz w:val="16"/>
                          <w:szCs w:val="16"/>
                        </w:rPr>
                        <w:t xml:space="preserve">party </w:t>
                      </w:r>
                      <w:r w:rsidR="00103EA6" w:rsidRPr="009169CD">
                        <w:rPr>
                          <w:sz w:val="16"/>
                          <w:szCs w:val="16"/>
                        </w:rPr>
                        <w:t xml:space="preserve">policy structures and affiliated organisations. Each of our ‘work packages’ is led by a subject matter expert and </w:t>
                      </w:r>
                      <w:r>
                        <w:rPr>
                          <w:sz w:val="16"/>
                          <w:szCs w:val="16"/>
                        </w:rPr>
                        <w:t xml:space="preserve">includes qualified and experienced practitioners. </w:t>
                      </w:r>
                    </w:p>
                    <w:p w14:paraId="601E56A1" w14:textId="77777777" w:rsidR="00103EA6" w:rsidRPr="00D9498D" w:rsidRDefault="00103EA6" w:rsidP="00103EA6">
                      <w:pPr>
                        <w:rPr>
                          <w:sz w:val="16"/>
                          <w:szCs w:val="16"/>
                        </w:rPr>
                      </w:pPr>
                    </w:p>
                    <w:p w14:paraId="06EE57BA" w14:textId="77777777" w:rsidR="00103EA6" w:rsidRPr="00331137" w:rsidRDefault="00103EA6" w:rsidP="00103EA6"/>
                    <w:p w14:paraId="00A82A01" w14:textId="77777777" w:rsidR="00103EA6" w:rsidRDefault="00103EA6" w:rsidP="00103EA6"/>
                  </w:txbxContent>
                </v:textbox>
                <w10:wrap type="square" anchorx="margin"/>
              </v:shape>
            </w:pict>
          </mc:Fallback>
        </mc:AlternateContent>
      </w:r>
      <w:r w:rsidR="00FA6097" w:rsidRPr="002931E7">
        <w:rPr>
          <w:b/>
          <w:bCs/>
        </w:rPr>
        <w:t>Background</w:t>
      </w:r>
    </w:p>
    <w:p w14:paraId="32E00C1D" w14:textId="784182E9" w:rsidR="009E74BE" w:rsidRDefault="000C5C2A" w:rsidP="005776A8">
      <w:r>
        <w:t xml:space="preserve">One fifth of land in Wales and just under one tenth of land in England is covered by </w:t>
      </w:r>
      <w:r w:rsidRPr="00461005">
        <w:t>The Countryside &amp; Rights of Way Act</w:t>
      </w:r>
      <w:r>
        <w:t xml:space="preserve"> (CROW), passed by </w:t>
      </w:r>
      <w:r w:rsidR="00310F17">
        <w:t xml:space="preserve">a </w:t>
      </w:r>
      <w:r>
        <w:t xml:space="preserve">Labour government. </w:t>
      </w:r>
      <w:r w:rsidR="00DA71EC" w:rsidRPr="00461005">
        <w:t>Campaigners for Right to Roam</w:t>
      </w:r>
      <w:r w:rsidR="009068D9">
        <w:t xml:space="preserve"> </w:t>
      </w:r>
      <w:r w:rsidR="00DA71EC" w:rsidRPr="00461005">
        <w:t xml:space="preserve">claim that this act does not go far enough, </w:t>
      </w:r>
      <w:r w:rsidR="00761122">
        <w:t xml:space="preserve">and propose a right of access akin to </w:t>
      </w:r>
      <w:r w:rsidR="00993A5E" w:rsidRPr="00461005">
        <w:t>Scotland</w:t>
      </w:r>
      <w:r w:rsidR="009E74BE">
        <w:t>’</w:t>
      </w:r>
      <w:r w:rsidR="00761122">
        <w:t>s</w:t>
      </w:r>
      <w:r w:rsidR="00993A5E" w:rsidRPr="00461005">
        <w:t xml:space="preserve"> Land Reform Act 2003</w:t>
      </w:r>
      <w:r w:rsidR="009E74BE">
        <w:t xml:space="preserve"> along</w:t>
      </w:r>
      <w:r w:rsidR="00A77DF1" w:rsidRPr="00461005">
        <w:t xml:space="preserve"> the lines of the ancient rights which are a commonly recognised right in</w:t>
      </w:r>
      <w:r w:rsidR="00461005" w:rsidRPr="00461005">
        <w:t xml:space="preserve"> Nordic countries.</w:t>
      </w:r>
    </w:p>
    <w:p w14:paraId="5C25F65C" w14:textId="714429B5" w:rsidR="00C04BF4" w:rsidRPr="00461005" w:rsidRDefault="00366343" w:rsidP="005776A8">
      <w:r>
        <w:t>Landowners</w:t>
      </w:r>
      <w:r w:rsidR="00B037AC">
        <w:t xml:space="preserve"> and managers</w:t>
      </w:r>
      <w:r>
        <w:t xml:space="preserve"> </w:t>
      </w:r>
      <w:r w:rsidR="00052D45">
        <w:t>are</w:t>
      </w:r>
      <w:r>
        <w:t xml:space="preserve"> concerned </w:t>
      </w:r>
      <w:r w:rsidR="00052D45">
        <w:t>and have campaigned against</w:t>
      </w:r>
      <w:r>
        <w:t xml:space="preserve"> ‘right to roam’ proposals</w:t>
      </w:r>
      <w:r w:rsidR="00052D45">
        <w:t xml:space="preserve">, expressing justifiable concerns </w:t>
      </w:r>
      <w:r w:rsidR="00B037AC">
        <w:t>ranging across issues of</w:t>
      </w:r>
      <w:r w:rsidR="00052D45">
        <w:t xml:space="preserve">: biosecurity; rural crime; livestock worrying; damage to fragile ecosystems; pollution; fly tipping, </w:t>
      </w:r>
      <w:proofErr w:type="gramStart"/>
      <w:r w:rsidR="00052D45">
        <w:t>litter</w:t>
      </w:r>
      <w:proofErr w:type="gramEnd"/>
      <w:r w:rsidR="00052D45">
        <w:t xml:space="preserve"> and other irresponsible behaviour.</w:t>
      </w:r>
    </w:p>
    <w:p w14:paraId="3769133F" w14:textId="77777777" w:rsidR="00461005" w:rsidRDefault="00FA6097" w:rsidP="00461005">
      <w:pPr>
        <w:ind w:left="45"/>
        <w:rPr>
          <w:b/>
          <w:bCs/>
        </w:rPr>
      </w:pPr>
      <w:r w:rsidRPr="00FA6097">
        <w:rPr>
          <w:b/>
          <w:bCs/>
        </w:rPr>
        <w:t>What you need to know</w:t>
      </w:r>
    </w:p>
    <w:p w14:paraId="4F33B1A2" w14:textId="5F00FDD6" w:rsidR="009E74BE" w:rsidRPr="00461005" w:rsidRDefault="009E74BE" w:rsidP="009E74BE">
      <w:r w:rsidRPr="00461005">
        <w:t xml:space="preserve">Proponents of Right to Roam </w:t>
      </w:r>
      <w:r>
        <w:t>argue</w:t>
      </w:r>
      <w:r w:rsidRPr="00461005">
        <w:t xml:space="preserve"> that opening up access to green spaces is a way to improve people’s health and wellbeing whilst building environmental awareness through contact with nature.</w:t>
      </w:r>
      <w:r>
        <w:t xml:space="preserve"> There is also a strong reparations and class dimension to the Right to Roam campaign driven by the documented poor access of BPOC and deprived communities to green spaces and nature and the fact that over half of the land in England is owned by less than </w:t>
      </w:r>
      <w:r w:rsidR="00B037AC">
        <w:t>one per cent</w:t>
      </w:r>
      <w:r>
        <w:t xml:space="preserve"> of </w:t>
      </w:r>
      <w:r w:rsidR="00B037AC">
        <w:t xml:space="preserve">the </w:t>
      </w:r>
      <w:r>
        <w:t>population.</w:t>
      </w:r>
    </w:p>
    <w:p w14:paraId="0D84658C" w14:textId="3D98E3F8" w:rsidR="00052D45" w:rsidRDefault="00052D45" w:rsidP="00461005">
      <w:r>
        <w:t xml:space="preserve">There is a perception in rural areas that Labour is an urban party, with insufficient understanding of rural matters. The issue of public access is, therefore, contentious and can be used as a ‘wedge issue’ by our political opponents. </w:t>
      </w:r>
    </w:p>
    <w:p w14:paraId="04E80D95" w14:textId="7AC6D786" w:rsidR="00461005" w:rsidRPr="00461005" w:rsidRDefault="00461005" w:rsidP="00461005">
      <w:r w:rsidRPr="00461005">
        <w:t xml:space="preserve">Whilst improving people’s access to </w:t>
      </w:r>
      <w:r w:rsidR="00436463">
        <w:t>the countryside</w:t>
      </w:r>
      <w:r w:rsidRPr="00461005">
        <w:t xml:space="preserve"> and nature is a laudable aim, </w:t>
      </w:r>
      <w:r w:rsidR="00436463">
        <w:t xml:space="preserve">addressing this </w:t>
      </w:r>
      <w:r w:rsidR="00654DFB">
        <w:t xml:space="preserve">requires </w:t>
      </w:r>
      <w:r w:rsidR="00436463">
        <w:t>consider</w:t>
      </w:r>
      <w:r w:rsidR="00654DFB">
        <w:t>ation of</w:t>
      </w:r>
      <w:r w:rsidR="00436463">
        <w:t xml:space="preserve"> other reasons why people don’t engage including lack of time and resources (</w:t>
      </w:r>
      <w:proofErr w:type="spellStart"/>
      <w:r w:rsidR="00436463">
        <w:t>eg</w:t>
      </w:r>
      <w:proofErr w:type="spellEnd"/>
      <w:r w:rsidR="00436463">
        <w:t xml:space="preserve"> clothing, transport) as well as hesitancy and nervousness about going </w:t>
      </w:r>
      <w:r w:rsidR="00654DFB">
        <w:t>in</w:t>
      </w:r>
      <w:r w:rsidR="00436463">
        <w:t>to an unfamiliar environment. I</w:t>
      </w:r>
      <w:r w:rsidRPr="00461005">
        <w:t xml:space="preserve">ncreasing </w:t>
      </w:r>
      <w:r w:rsidR="00436463">
        <w:t xml:space="preserve">funding and providing </w:t>
      </w:r>
      <w:r w:rsidRPr="00461005">
        <w:t xml:space="preserve">opportunities for community engagement with </w:t>
      </w:r>
      <w:r w:rsidR="009D3F0C">
        <w:t xml:space="preserve">nature and </w:t>
      </w:r>
      <w:r w:rsidRPr="00461005">
        <w:t>farm</w:t>
      </w:r>
      <w:r w:rsidR="009D3F0C">
        <w:t>ing</w:t>
      </w:r>
      <w:r w:rsidR="00436463">
        <w:t xml:space="preserve"> could address some of these barriers </w:t>
      </w:r>
      <w:r w:rsidR="00A04448">
        <w:t>.</w:t>
      </w:r>
      <w:r w:rsidR="00052D45">
        <w:t xml:space="preserve"> </w:t>
      </w:r>
      <w:r w:rsidRPr="00461005">
        <w:t>Building community between farmers and non-farmers</w:t>
      </w:r>
      <w:r w:rsidR="00052D45">
        <w:t>,</w:t>
      </w:r>
      <w:r w:rsidRPr="00461005">
        <w:t xml:space="preserve"> rather than pitting these groups against each other in a culture war</w:t>
      </w:r>
      <w:r w:rsidR="00052D45">
        <w:t>,</w:t>
      </w:r>
      <w:r w:rsidRPr="00461005">
        <w:t xml:space="preserve"> would yield better results than extending CROW</w:t>
      </w:r>
      <w:r w:rsidR="009E74BE">
        <w:t xml:space="preserve"> w</w:t>
      </w:r>
      <w:r w:rsidRPr="00461005">
        <w:t>hich is likely to only benefit a minority of people and do little to improve connection with nature for the population more widely.</w:t>
      </w:r>
    </w:p>
    <w:p w14:paraId="555DBCDB" w14:textId="77777777" w:rsidR="00FA6097" w:rsidRPr="00FA6097" w:rsidRDefault="00FA6097" w:rsidP="00FA6097">
      <w:pPr>
        <w:rPr>
          <w:b/>
          <w:bCs/>
        </w:rPr>
      </w:pPr>
      <w:r w:rsidRPr="00FA6097">
        <w:rPr>
          <w:b/>
          <w:bCs/>
        </w:rPr>
        <w:t>Policy implications</w:t>
      </w:r>
    </w:p>
    <w:p w14:paraId="08231273" w14:textId="4416E8F6" w:rsidR="00E25189" w:rsidRPr="004A4735" w:rsidRDefault="00B037AC" w:rsidP="00467B79">
      <w:pPr>
        <w:numPr>
          <w:ilvl w:val="0"/>
          <w:numId w:val="5"/>
        </w:numPr>
        <w:spacing w:line="240" w:lineRule="auto"/>
        <w:contextualSpacing/>
      </w:pPr>
      <w:r>
        <w:rPr>
          <w:u w:val="single"/>
        </w:rPr>
        <w:t>England</w:t>
      </w:r>
      <w:r w:rsidR="00436463">
        <w:rPr>
          <w:u w:val="single"/>
        </w:rPr>
        <w:t xml:space="preserve">: </w:t>
      </w:r>
      <w:r w:rsidR="00436463" w:rsidRPr="00467B79">
        <w:t xml:space="preserve">Develop and </w:t>
      </w:r>
      <w:r w:rsidR="00654DFB">
        <w:t xml:space="preserve">properly </w:t>
      </w:r>
      <w:r w:rsidR="00436463" w:rsidRPr="00467B79">
        <w:t xml:space="preserve">resource a vision for </w:t>
      </w:r>
      <w:r w:rsidR="004A4735" w:rsidRPr="00436463">
        <w:t>community</w:t>
      </w:r>
      <w:r w:rsidR="004A4735">
        <w:t xml:space="preserve"> engagement on farm as a public good through ELMs</w:t>
      </w:r>
      <w:r w:rsidR="00436463">
        <w:t xml:space="preserve"> including creating direct links between public sector entities such as schools and individual farms</w:t>
      </w:r>
      <w:r w:rsidR="004A4735">
        <w:t xml:space="preserve">. Support urban community engagement </w:t>
      </w:r>
      <w:r w:rsidR="009D3F0C">
        <w:t xml:space="preserve">through </w:t>
      </w:r>
      <w:r w:rsidR="004A4735">
        <w:t>resourc</w:t>
      </w:r>
      <w:r w:rsidR="009D3F0C">
        <w:t>ing</w:t>
      </w:r>
      <w:r w:rsidR="004A4735">
        <w:t xml:space="preserve"> community gardens, a garden in each school, forest schools</w:t>
      </w:r>
      <w:r w:rsidR="00436463">
        <w:t xml:space="preserve">. </w:t>
      </w:r>
      <w:r w:rsidR="004A4735">
        <w:t xml:space="preserve">  </w:t>
      </w:r>
      <w:r w:rsidR="00436463">
        <w:t>R</w:t>
      </w:r>
      <w:r w:rsidR="004A4735">
        <w:t>eform planning regulations giving communities the right to take over sites that have been abandoned or left as “meanwhile” sites for planning gain</w:t>
      </w:r>
      <w:r w:rsidR="00A05948">
        <w:t xml:space="preserve"> (along the lines of </w:t>
      </w:r>
      <w:r w:rsidR="009D3F0C">
        <w:t>the Scottish</w:t>
      </w:r>
      <w:r w:rsidR="00A05948">
        <w:t xml:space="preserve"> right for communities to buy vacant and unused land without the </w:t>
      </w:r>
      <w:proofErr w:type="gramStart"/>
      <w:r w:rsidR="00A05948">
        <w:t>landowners</w:t>
      </w:r>
      <w:proofErr w:type="gramEnd"/>
      <w:r w:rsidR="00A05948">
        <w:t xml:space="preserve"> permission)</w:t>
      </w:r>
    </w:p>
    <w:p w14:paraId="4487870A" w14:textId="77777777" w:rsidR="00FA6097" w:rsidRPr="004A4735" w:rsidRDefault="00FA6097" w:rsidP="00467B79">
      <w:pPr>
        <w:numPr>
          <w:ilvl w:val="0"/>
          <w:numId w:val="5"/>
        </w:numPr>
        <w:spacing w:line="240" w:lineRule="auto"/>
        <w:contextualSpacing/>
        <w:rPr>
          <w:b/>
          <w:bCs/>
        </w:rPr>
      </w:pPr>
      <w:r w:rsidRPr="004A4735">
        <w:rPr>
          <w:u w:val="single"/>
        </w:rPr>
        <w:t>Regional and county</w:t>
      </w:r>
      <w:r w:rsidRPr="004A4735">
        <w:t xml:space="preserve">. </w:t>
      </w:r>
      <w:r w:rsidR="004A4735">
        <w:t xml:space="preserve">Regional authorities to work together to </w:t>
      </w:r>
      <w:r w:rsidR="009D3F0C">
        <w:t>provide more</w:t>
      </w:r>
      <w:r w:rsidR="004A4735">
        <w:t xml:space="preserve"> allotment and growing spaces on a region wide basis</w:t>
      </w:r>
      <w:r w:rsidR="00E86FC4">
        <w:t xml:space="preserve"> and </w:t>
      </w:r>
      <w:r w:rsidR="00121A67">
        <w:t>support</w:t>
      </w:r>
      <w:r w:rsidR="00E86FC4">
        <w:t xml:space="preserve"> a community engagement programme on their county farms</w:t>
      </w:r>
      <w:r w:rsidR="00121A67">
        <w:t xml:space="preserve"> as a beacon for what good engagement look</w:t>
      </w:r>
      <w:r w:rsidR="009D3F0C">
        <w:t>s</w:t>
      </w:r>
      <w:r w:rsidR="00121A67">
        <w:t xml:space="preserve"> like.</w:t>
      </w:r>
    </w:p>
    <w:p w14:paraId="299ED3D9" w14:textId="69DDC4C8" w:rsidR="009068D9" w:rsidRDefault="00FA6097" w:rsidP="00436463">
      <w:pPr>
        <w:numPr>
          <w:ilvl w:val="0"/>
          <w:numId w:val="5"/>
        </w:numPr>
        <w:spacing w:after="0" w:line="240" w:lineRule="auto"/>
        <w:ind w:left="357" w:hanging="357"/>
        <w:contextualSpacing/>
        <w:rPr>
          <w:b/>
          <w:bCs/>
        </w:rPr>
      </w:pPr>
      <w:r w:rsidRPr="004A4735">
        <w:rPr>
          <w:u w:val="single"/>
        </w:rPr>
        <w:t>District, town and parish</w:t>
      </w:r>
      <w:r w:rsidRPr="004A4735">
        <w:t xml:space="preserve">. </w:t>
      </w:r>
      <w:r w:rsidR="00E86FC4">
        <w:t>Bring farmers together with their local community through events and activities to cultivate a partnership approach to improving connection, knowledge and understanding of farming and nature</w:t>
      </w:r>
      <w:r w:rsidR="00FC18DB">
        <w:t xml:space="preserve"> and improve the quality of urban green spaces</w:t>
      </w:r>
      <w:r w:rsidR="00E86FC4">
        <w:t>.</w:t>
      </w:r>
    </w:p>
    <w:p w14:paraId="102F4DE1" w14:textId="354EC315" w:rsidR="009E74BE" w:rsidRPr="00371495" w:rsidRDefault="00FA6097" w:rsidP="00467B79">
      <w:pPr>
        <w:spacing w:after="0" w:line="180" w:lineRule="exact"/>
        <w:ind w:left="357"/>
        <w:contextualSpacing/>
        <w:rPr>
          <w:b/>
          <w:bCs/>
        </w:rPr>
      </w:pPr>
      <w:r w:rsidRPr="009068D9">
        <w:rPr>
          <w:b/>
          <w:bCs/>
        </w:rPr>
        <w:br/>
      </w:r>
      <w:r w:rsidRPr="00371495">
        <w:rPr>
          <w:b/>
          <w:bCs/>
          <w:sz w:val="20"/>
          <w:szCs w:val="20"/>
        </w:rPr>
        <w:t>Useful resources, references and point of contact</w:t>
      </w:r>
    </w:p>
    <w:p w14:paraId="0AA356E5" w14:textId="77777777" w:rsidR="009068D9" w:rsidRPr="009E0B36" w:rsidRDefault="009068D9" w:rsidP="009068D9">
      <w:pPr>
        <w:pStyle w:val="EndnoteText"/>
        <w:numPr>
          <w:ilvl w:val="0"/>
          <w:numId w:val="5"/>
        </w:numPr>
        <w:rPr>
          <w:sz w:val="16"/>
          <w:szCs w:val="16"/>
        </w:rPr>
      </w:pPr>
      <w:r w:rsidRPr="009E0B36">
        <w:rPr>
          <w:sz w:val="16"/>
          <w:szCs w:val="16"/>
        </w:rPr>
        <w:t>https://www.cla.org.uk/news/in-focus-what-the-law-says-about-public-access-and-why-the-term-right-to-roam-is-incorrect/</w:t>
      </w:r>
    </w:p>
    <w:p w14:paraId="3E3880C5" w14:textId="68E225D3" w:rsidR="009068D9" w:rsidRPr="00371495" w:rsidRDefault="009068D9" w:rsidP="00467B79">
      <w:pPr>
        <w:pStyle w:val="EndnoteText"/>
        <w:numPr>
          <w:ilvl w:val="0"/>
          <w:numId w:val="5"/>
        </w:numPr>
        <w:rPr>
          <w:b/>
          <w:bCs/>
        </w:rPr>
      </w:pPr>
      <w:r w:rsidRPr="009D3F0C">
        <w:rPr>
          <w:rStyle w:val="Hyperlink"/>
          <w:sz w:val="16"/>
          <w:szCs w:val="16"/>
        </w:rPr>
        <w:t>https://www.bbc.co.uk/news/science-environment-66341778</w:t>
      </w:r>
      <w:r w:rsidR="009D0A61" w:rsidRPr="009D3F0C" w:rsidDel="009D0A61">
        <w:rPr>
          <w:sz w:val="16"/>
          <w:szCs w:val="16"/>
        </w:rPr>
        <w:t xml:space="preserve"> </w:t>
      </w:r>
    </w:p>
    <w:p w14:paraId="66C21A62" w14:textId="77777777" w:rsidR="009068D9" w:rsidRPr="009D3F0C" w:rsidRDefault="00000000" w:rsidP="009068D9">
      <w:pPr>
        <w:pStyle w:val="EndnoteText"/>
        <w:numPr>
          <w:ilvl w:val="0"/>
          <w:numId w:val="5"/>
        </w:numPr>
        <w:rPr>
          <w:sz w:val="16"/>
          <w:szCs w:val="16"/>
        </w:rPr>
      </w:pPr>
      <w:hyperlink r:id="rId8" w:history="1">
        <w:r w:rsidR="009068D9" w:rsidRPr="009D3F0C">
          <w:rPr>
            <w:rStyle w:val="Hyperlink"/>
            <w:sz w:val="16"/>
            <w:szCs w:val="16"/>
          </w:rPr>
          <w:t>https://www.gov.scot/policies/land-reform/community-right-to-buy-abandoned-neglected-or-detrimental-land/</w:t>
        </w:r>
      </w:hyperlink>
    </w:p>
    <w:p w14:paraId="0AD59EFE" w14:textId="77777777" w:rsidR="009D0A61" w:rsidRDefault="009D0A61" w:rsidP="00371495">
      <w:pPr>
        <w:spacing w:after="0"/>
        <w:ind w:left="360"/>
        <w:contextualSpacing/>
        <w:jc w:val="right"/>
        <w:rPr>
          <w:b/>
          <w:bCs/>
          <w:sz w:val="20"/>
          <w:szCs w:val="20"/>
        </w:rPr>
      </w:pPr>
    </w:p>
    <w:p w14:paraId="2FF1BB6C" w14:textId="1F22885A" w:rsidR="009068D9" w:rsidRPr="00371495" w:rsidRDefault="009068D9" w:rsidP="00371495">
      <w:pPr>
        <w:spacing w:after="0"/>
        <w:ind w:left="360"/>
        <w:contextualSpacing/>
        <w:jc w:val="right"/>
        <w:rPr>
          <w:b/>
          <w:bCs/>
          <w:sz w:val="20"/>
          <w:szCs w:val="20"/>
        </w:rPr>
      </w:pPr>
      <w:r>
        <w:rPr>
          <w:b/>
          <w:bCs/>
          <w:sz w:val="20"/>
          <w:szCs w:val="20"/>
        </w:rPr>
        <w:t>Contact: Clare Horrell: clare.horrell@blueyonder.co.uk</w:t>
      </w:r>
    </w:p>
    <w:sectPr w:rsidR="009068D9" w:rsidRPr="00371495" w:rsidSect="00023D45">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D4A71" w14:textId="77777777" w:rsidR="00023D45" w:rsidRDefault="00023D45" w:rsidP="00F9459D">
      <w:pPr>
        <w:spacing w:after="0" w:line="240" w:lineRule="auto"/>
      </w:pPr>
      <w:r>
        <w:separator/>
      </w:r>
    </w:p>
  </w:endnote>
  <w:endnote w:type="continuationSeparator" w:id="0">
    <w:p w14:paraId="29D44D81" w14:textId="77777777" w:rsidR="00023D45" w:rsidRDefault="00023D45" w:rsidP="00F9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B3C7E" w14:textId="77777777" w:rsidR="00023D45" w:rsidRDefault="00023D45" w:rsidP="00F9459D">
      <w:pPr>
        <w:spacing w:after="0" w:line="240" w:lineRule="auto"/>
      </w:pPr>
      <w:r>
        <w:separator/>
      </w:r>
    </w:p>
  </w:footnote>
  <w:footnote w:type="continuationSeparator" w:id="0">
    <w:p w14:paraId="4E10B79F" w14:textId="77777777" w:rsidR="00023D45" w:rsidRDefault="00023D45" w:rsidP="00F94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567"/>
    <w:multiLevelType w:val="hybridMultilevel"/>
    <w:tmpl w:val="84040BB4"/>
    <w:lvl w:ilvl="0" w:tplc="768E82FA">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14599"/>
    <w:multiLevelType w:val="hybridMultilevel"/>
    <w:tmpl w:val="7486C7DC"/>
    <w:lvl w:ilvl="0" w:tplc="768E82FA">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034134"/>
    <w:multiLevelType w:val="hybridMultilevel"/>
    <w:tmpl w:val="3410D81E"/>
    <w:lvl w:ilvl="0" w:tplc="D3AAD4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2C6416"/>
    <w:multiLevelType w:val="hybridMultilevel"/>
    <w:tmpl w:val="86363FBA"/>
    <w:lvl w:ilvl="0" w:tplc="768E82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630884"/>
    <w:multiLevelType w:val="hybridMultilevel"/>
    <w:tmpl w:val="CAEC5A96"/>
    <w:lvl w:ilvl="0" w:tplc="768E82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9D540F"/>
    <w:multiLevelType w:val="hybridMultilevel"/>
    <w:tmpl w:val="1E02B4C0"/>
    <w:lvl w:ilvl="0" w:tplc="768E82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402E23"/>
    <w:multiLevelType w:val="hybridMultilevel"/>
    <w:tmpl w:val="AA82D548"/>
    <w:lvl w:ilvl="0" w:tplc="768E82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1437731">
    <w:abstractNumId w:val="1"/>
  </w:num>
  <w:num w:numId="2" w16cid:durableId="2091462268">
    <w:abstractNumId w:val="2"/>
  </w:num>
  <w:num w:numId="3" w16cid:durableId="2114741747">
    <w:abstractNumId w:val="6"/>
  </w:num>
  <w:num w:numId="4" w16cid:durableId="1270702109">
    <w:abstractNumId w:val="0"/>
  </w:num>
  <w:num w:numId="5" w16cid:durableId="1274047957">
    <w:abstractNumId w:val="5"/>
  </w:num>
  <w:num w:numId="6" w16cid:durableId="1095706486">
    <w:abstractNumId w:val="3"/>
  </w:num>
  <w:num w:numId="7" w16cid:durableId="805320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E6"/>
    <w:rsid w:val="00023D45"/>
    <w:rsid w:val="00052D45"/>
    <w:rsid w:val="00063882"/>
    <w:rsid w:val="000920D7"/>
    <w:rsid w:val="000A59C2"/>
    <w:rsid w:val="000C1AFE"/>
    <w:rsid w:val="000C1FAD"/>
    <w:rsid w:val="000C5C2A"/>
    <w:rsid w:val="000D4A5D"/>
    <w:rsid w:val="000E62CB"/>
    <w:rsid w:val="00103EA6"/>
    <w:rsid w:val="001130EA"/>
    <w:rsid w:val="00120279"/>
    <w:rsid w:val="00121A67"/>
    <w:rsid w:val="00135E3B"/>
    <w:rsid w:val="00156246"/>
    <w:rsid w:val="00173677"/>
    <w:rsid w:val="001A0CC0"/>
    <w:rsid w:val="001B645B"/>
    <w:rsid w:val="001E3C95"/>
    <w:rsid w:val="00216C39"/>
    <w:rsid w:val="00234DC9"/>
    <w:rsid w:val="00241D1B"/>
    <w:rsid w:val="00252003"/>
    <w:rsid w:val="00276958"/>
    <w:rsid w:val="002931E7"/>
    <w:rsid w:val="002A253E"/>
    <w:rsid w:val="00310F17"/>
    <w:rsid w:val="00331137"/>
    <w:rsid w:val="00345A6A"/>
    <w:rsid w:val="00363EE1"/>
    <w:rsid w:val="00366343"/>
    <w:rsid w:val="00371495"/>
    <w:rsid w:val="00380874"/>
    <w:rsid w:val="003863C0"/>
    <w:rsid w:val="003D6CEE"/>
    <w:rsid w:val="004173DD"/>
    <w:rsid w:val="0042277E"/>
    <w:rsid w:val="00436463"/>
    <w:rsid w:val="00444E65"/>
    <w:rsid w:val="00461005"/>
    <w:rsid w:val="00465ADD"/>
    <w:rsid w:val="00467B79"/>
    <w:rsid w:val="00484048"/>
    <w:rsid w:val="004A4735"/>
    <w:rsid w:val="004A6EEC"/>
    <w:rsid w:val="004B047B"/>
    <w:rsid w:val="00501517"/>
    <w:rsid w:val="005241C9"/>
    <w:rsid w:val="0053190B"/>
    <w:rsid w:val="00564C32"/>
    <w:rsid w:val="0057122D"/>
    <w:rsid w:val="005776A8"/>
    <w:rsid w:val="005B23FB"/>
    <w:rsid w:val="005B62EF"/>
    <w:rsid w:val="005C6EA8"/>
    <w:rsid w:val="0060575C"/>
    <w:rsid w:val="00611AC5"/>
    <w:rsid w:val="0061327B"/>
    <w:rsid w:val="006449C6"/>
    <w:rsid w:val="0065008A"/>
    <w:rsid w:val="00654DFB"/>
    <w:rsid w:val="006A0967"/>
    <w:rsid w:val="00711342"/>
    <w:rsid w:val="0073596C"/>
    <w:rsid w:val="00737428"/>
    <w:rsid w:val="0075329E"/>
    <w:rsid w:val="00761122"/>
    <w:rsid w:val="007A1EC3"/>
    <w:rsid w:val="007A6F9D"/>
    <w:rsid w:val="007B75F1"/>
    <w:rsid w:val="007C02F6"/>
    <w:rsid w:val="007C6B1E"/>
    <w:rsid w:val="007E4DEC"/>
    <w:rsid w:val="0080317F"/>
    <w:rsid w:val="00813443"/>
    <w:rsid w:val="0082036F"/>
    <w:rsid w:val="00830505"/>
    <w:rsid w:val="00834F02"/>
    <w:rsid w:val="008541BF"/>
    <w:rsid w:val="008808B4"/>
    <w:rsid w:val="008A13F5"/>
    <w:rsid w:val="008E00DD"/>
    <w:rsid w:val="008F4D64"/>
    <w:rsid w:val="008F5EC7"/>
    <w:rsid w:val="009068D9"/>
    <w:rsid w:val="009169CD"/>
    <w:rsid w:val="00924C33"/>
    <w:rsid w:val="00935081"/>
    <w:rsid w:val="009413ED"/>
    <w:rsid w:val="0094318E"/>
    <w:rsid w:val="009819E3"/>
    <w:rsid w:val="0099260B"/>
    <w:rsid w:val="00993A5E"/>
    <w:rsid w:val="009B2503"/>
    <w:rsid w:val="009D0A61"/>
    <w:rsid w:val="009D3F0C"/>
    <w:rsid w:val="009D719C"/>
    <w:rsid w:val="009E0B36"/>
    <w:rsid w:val="009E2DE9"/>
    <w:rsid w:val="009E74BE"/>
    <w:rsid w:val="00A04448"/>
    <w:rsid w:val="00A05948"/>
    <w:rsid w:val="00A233E6"/>
    <w:rsid w:val="00A70AB9"/>
    <w:rsid w:val="00A777C9"/>
    <w:rsid w:val="00A77DF1"/>
    <w:rsid w:val="00A86AB7"/>
    <w:rsid w:val="00A87CE5"/>
    <w:rsid w:val="00AC4413"/>
    <w:rsid w:val="00B007D0"/>
    <w:rsid w:val="00B037AC"/>
    <w:rsid w:val="00B17D22"/>
    <w:rsid w:val="00B3660C"/>
    <w:rsid w:val="00B902C5"/>
    <w:rsid w:val="00B93B29"/>
    <w:rsid w:val="00BA2F5F"/>
    <w:rsid w:val="00BD07B8"/>
    <w:rsid w:val="00BD3426"/>
    <w:rsid w:val="00BF367C"/>
    <w:rsid w:val="00C04BF4"/>
    <w:rsid w:val="00C225BF"/>
    <w:rsid w:val="00C355B5"/>
    <w:rsid w:val="00C43ADA"/>
    <w:rsid w:val="00C627B6"/>
    <w:rsid w:val="00C73C1D"/>
    <w:rsid w:val="00CC2D3D"/>
    <w:rsid w:val="00CC7448"/>
    <w:rsid w:val="00CF7D0C"/>
    <w:rsid w:val="00D267F3"/>
    <w:rsid w:val="00D4194C"/>
    <w:rsid w:val="00D46486"/>
    <w:rsid w:val="00D8264E"/>
    <w:rsid w:val="00D93CAA"/>
    <w:rsid w:val="00D9498D"/>
    <w:rsid w:val="00DA3254"/>
    <w:rsid w:val="00DA71EC"/>
    <w:rsid w:val="00DB1F16"/>
    <w:rsid w:val="00DC299C"/>
    <w:rsid w:val="00E25189"/>
    <w:rsid w:val="00E25461"/>
    <w:rsid w:val="00E86FC4"/>
    <w:rsid w:val="00E93694"/>
    <w:rsid w:val="00EB44DE"/>
    <w:rsid w:val="00EE06BC"/>
    <w:rsid w:val="00F1373A"/>
    <w:rsid w:val="00F15899"/>
    <w:rsid w:val="00F23B38"/>
    <w:rsid w:val="00F355AE"/>
    <w:rsid w:val="00F35C37"/>
    <w:rsid w:val="00F415FB"/>
    <w:rsid w:val="00F4445A"/>
    <w:rsid w:val="00F9459D"/>
    <w:rsid w:val="00FA6097"/>
    <w:rsid w:val="00FA7AE2"/>
    <w:rsid w:val="00FC18DB"/>
    <w:rsid w:val="00FC2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18C8"/>
  <w15:docId w15:val="{BFD8C2A2-A7CC-4144-AFF8-0803C04D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B8"/>
  </w:style>
  <w:style w:type="paragraph" w:styleId="Heading3">
    <w:name w:val="heading 3"/>
    <w:basedOn w:val="Normal"/>
    <w:next w:val="Normal"/>
    <w:link w:val="Heading3Char"/>
    <w:uiPriority w:val="9"/>
    <w:semiHidden/>
    <w:unhideWhenUsed/>
    <w:qFormat/>
    <w:rsid w:val="00E254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EA8"/>
    <w:rPr>
      <w:color w:val="0563C1" w:themeColor="hyperlink"/>
      <w:u w:val="single"/>
    </w:rPr>
  </w:style>
  <w:style w:type="character" w:customStyle="1" w:styleId="UnresolvedMention1">
    <w:name w:val="Unresolved Mention1"/>
    <w:basedOn w:val="DefaultParagraphFont"/>
    <w:uiPriority w:val="99"/>
    <w:semiHidden/>
    <w:unhideWhenUsed/>
    <w:rsid w:val="005C6EA8"/>
    <w:rPr>
      <w:color w:val="605E5C"/>
      <w:shd w:val="clear" w:color="auto" w:fill="E1DFDD"/>
    </w:rPr>
  </w:style>
  <w:style w:type="paragraph" w:styleId="ListParagraph">
    <w:name w:val="List Paragraph"/>
    <w:basedOn w:val="Normal"/>
    <w:uiPriority w:val="34"/>
    <w:qFormat/>
    <w:rsid w:val="00B3660C"/>
    <w:pPr>
      <w:ind w:left="720"/>
      <w:contextualSpacing/>
    </w:pPr>
  </w:style>
  <w:style w:type="character" w:customStyle="1" w:styleId="Heading3Char">
    <w:name w:val="Heading 3 Char"/>
    <w:basedOn w:val="DefaultParagraphFont"/>
    <w:link w:val="Heading3"/>
    <w:uiPriority w:val="9"/>
    <w:semiHidden/>
    <w:rsid w:val="00E25461"/>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D3426"/>
    <w:rPr>
      <w:sz w:val="16"/>
      <w:szCs w:val="16"/>
    </w:rPr>
  </w:style>
  <w:style w:type="paragraph" w:styleId="CommentText">
    <w:name w:val="annotation text"/>
    <w:basedOn w:val="Normal"/>
    <w:link w:val="CommentTextChar"/>
    <w:uiPriority w:val="99"/>
    <w:semiHidden/>
    <w:unhideWhenUsed/>
    <w:rsid w:val="00BD3426"/>
    <w:pPr>
      <w:spacing w:line="240" w:lineRule="auto"/>
    </w:pPr>
    <w:rPr>
      <w:sz w:val="20"/>
      <w:szCs w:val="20"/>
    </w:rPr>
  </w:style>
  <w:style w:type="character" w:customStyle="1" w:styleId="CommentTextChar">
    <w:name w:val="Comment Text Char"/>
    <w:basedOn w:val="DefaultParagraphFont"/>
    <w:link w:val="CommentText"/>
    <w:uiPriority w:val="99"/>
    <w:semiHidden/>
    <w:rsid w:val="00BD3426"/>
    <w:rPr>
      <w:sz w:val="20"/>
      <w:szCs w:val="20"/>
    </w:rPr>
  </w:style>
  <w:style w:type="paragraph" w:styleId="CommentSubject">
    <w:name w:val="annotation subject"/>
    <w:basedOn w:val="CommentText"/>
    <w:next w:val="CommentText"/>
    <w:link w:val="CommentSubjectChar"/>
    <w:uiPriority w:val="99"/>
    <w:semiHidden/>
    <w:unhideWhenUsed/>
    <w:rsid w:val="00BD3426"/>
    <w:rPr>
      <w:b/>
      <w:bCs/>
    </w:rPr>
  </w:style>
  <w:style w:type="character" w:customStyle="1" w:styleId="CommentSubjectChar">
    <w:name w:val="Comment Subject Char"/>
    <w:basedOn w:val="CommentTextChar"/>
    <w:link w:val="CommentSubject"/>
    <w:uiPriority w:val="99"/>
    <w:semiHidden/>
    <w:rsid w:val="00BD3426"/>
    <w:rPr>
      <w:b/>
      <w:bCs/>
      <w:sz w:val="20"/>
      <w:szCs w:val="20"/>
    </w:rPr>
  </w:style>
  <w:style w:type="paragraph" w:styleId="BalloonText">
    <w:name w:val="Balloon Text"/>
    <w:basedOn w:val="Normal"/>
    <w:link w:val="BalloonTextChar"/>
    <w:uiPriority w:val="99"/>
    <w:semiHidden/>
    <w:unhideWhenUsed/>
    <w:rsid w:val="006A0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967"/>
    <w:rPr>
      <w:rFonts w:ascii="Tahoma" w:hAnsi="Tahoma" w:cs="Tahoma"/>
      <w:sz w:val="16"/>
      <w:szCs w:val="16"/>
    </w:rPr>
  </w:style>
  <w:style w:type="paragraph" w:styleId="Revision">
    <w:name w:val="Revision"/>
    <w:hidden/>
    <w:uiPriority w:val="99"/>
    <w:semiHidden/>
    <w:rsid w:val="0042277E"/>
    <w:pPr>
      <w:spacing w:after="0" w:line="240" w:lineRule="auto"/>
    </w:pPr>
  </w:style>
  <w:style w:type="character" w:styleId="UnresolvedMention">
    <w:name w:val="Unresolved Mention"/>
    <w:basedOn w:val="DefaultParagraphFont"/>
    <w:uiPriority w:val="99"/>
    <w:semiHidden/>
    <w:unhideWhenUsed/>
    <w:rsid w:val="007E4DEC"/>
    <w:rPr>
      <w:color w:val="605E5C"/>
      <w:shd w:val="clear" w:color="auto" w:fill="E1DFDD"/>
    </w:rPr>
  </w:style>
  <w:style w:type="character" w:styleId="FollowedHyperlink">
    <w:name w:val="FollowedHyperlink"/>
    <w:basedOn w:val="DefaultParagraphFont"/>
    <w:uiPriority w:val="99"/>
    <w:semiHidden/>
    <w:unhideWhenUsed/>
    <w:rsid w:val="00A04448"/>
    <w:rPr>
      <w:color w:val="954F72" w:themeColor="followedHyperlink"/>
      <w:u w:val="single"/>
    </w:rPr>
  </w:style>
  <w:style w:type="paragraph" w:styleId="FootnoteText">
    <w:name w:val="footnote text"/>
    <w:basedOn w:val="Normal"/>
    <w:link w:val="FootnoteTextChar"/>
    <w:uiPriority w:val="99"/>
    <w:semiHidden/>
    <w:unhideWhenUsed/>
    <w:rsid w:val="00F945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59D"/>
    <w:rPr>
      <w:sz w:val="20"/>
      <w:szCs w:val="20"/>
    </w:rPr>
  </w:style>
  <w:style w:type="character" w:styleId="FootnoteReference">
    <w:name w:val="footnote reference"/>
    <w:basedOn w:val="DefaultParagraphFont"/>
    <w:uiPriority w:val="99"/>
    <w:semiHidden/>
    <w:unhideWhenUsed/>
    <w:rsid w:val="00F9459D"/>
    <w:rPr>
      <w:vertAlign w:val="superscript"/>
    </w:rPr>
  </w:style>
  <w:style w:type="paragraph" w:styleId="EndnoteText">
    <w:name w:val="endnote text"/>
    <w:basedOn w:val="Normal"/>
    <w:link w:val="EndnoteTextChar"/>
    <w:uiPriority w:val="99"/>
    <w:unhideWhenUsed/>
    <w:rsid w:val="00F9459D"/>
    <w:pPr>
      <w:spacing w:after="0" w:line="240" w:lineRule="auto"/>
    </w:pPr>
    <w:rPr>
      <w:sz w:val="20"/>
      <w:szCs w:val="20"/>
    </w:rPr>
  </w:style>
  <w:style w:type="character" w:customStyle="1" w:styleId="EndnoteTextChar">
    <w:name w:val="Endnote Text Char"/>
    <w:basedOn w:val="DefaultParagraphFont"/>
    <w:link w:val="EndnoteText"/>
    <w:uiPriority w:val="99"/>
    <w:rsid w:val="00F9459D"/>
    <w:rPr>
      <w:sz w:val="20"/>
      <w:szCs w:val="20"/>
    </w:rPr>
  </w:style>
  <w:style w:type="character" w:styleId="EndnoteReference">
    <w:name w:val="endnote reference"/>
    <w:basedOn w:val="DefaultParagraphFont"/>
    <w:uiPriority w:val="99"/>
    <w:semiHidden/>
    <w:unhideWhenUsed/>
    <w:rsid w:val="00F94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666949">
      <w:bodyDiv w:val="1"/>
      <w:marLeft w:val="0"/>
      <w:marRight w:val="0"/>
      <w:marTop w:val="0"/>
      <w:marBottom w:val="0"/>
      <w:divBdr>
        <w:top w:val="none" w:sz="0" w:space="0" w:color="auto"/>
        <w:left w:val="none" w:sz="0" w:space="0" w:color="auto"/>
        <w:bottom w:val="none" w:sz="0" w:space="0" w:color="auto"/>
        <w:right w:val="none" w:sz="0" w:space="0" w:color="auto"/>
      </w:divBdr>
    </w:div>
    <w:div w:id="1370377741">
      <w:bodyDiv w:val="1"/>
      <w:marLeft w:val="0"/>
      <w:marRight w:val="0"/>
      <w:marTop w:val="0"/>
      <w:marBottom w:val="0"/>
      <w:divBdr>
        <w:top w:val="none" w:sz="0" w:space="0" w:color="auto"/>
        <w:left w:val="none" w:sz="0" w:space="0" w:color="auto"/>
        <w:bottom w:val="none" w:sz="0" w:space="0" w:color="auto"/>
        <w:right w:val="none" w:sz="0" w:space="0" w:color="auto"/>
      </w:divBdr>
    </w:div>
    <w:div w:id="18312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7FFAC-47FD-B448-8295-3F522544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Joe Joseph</cp:lastModifiedBy>
  <cp:revision>2</cp:revision>
  <dcterms:created xsi:type="dcterms:W3CDTF">2024-03-21T17:40:00Z</dcterms:created>
  <dcterms:modified xsi:type="dcterms:W3CDTF">2024-03-21T17:40:00Z</dcterms:modified>
</cp:coreProperties>
</file>